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bookmarkStart w:id="0" w:name="_GoBack"/>
      <w:bookmarkEnd w:id="0"/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三级</w:t>
      </w:r>
      <w:r>
        <w:rPr>
          <w:rFonts w:hint="eastAsia" w:ascii="宋体" w:hAnsi="宋体"/>
          <w:b/>
          <w:spacing w:val="40"/>
          <w:sz w:val="32"/>
          <w:szCs w:val="32"/>
        </w:rPr>
        <w:t>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 </w:t>
      </w:r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eastAsia="黑体"/>
        </w:rPr>
        <w:t>试题代码：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</w:t>
      </w:r>
      <w:r>
        <w:rPr>
          <w:rFonts w:eastAsia="黑体"/>
        </w:rPr>
        <w:t>老年人健康监测与管理服务业务模块效果优化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30min</w:t>
      </w:r>
    </w:p>
    <w:p>
      <w:pPr>
        <w:spacing w:line="360" w:lineRule="auto"/>
        <w:rPr>
          <w:rFonts w:hint="eastAsia" w:ascii="黑体" w:hAnsi="宋体" w:eastAsia="黑体"/>
          <w:b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eastAsia="黑体"/>
        </w:rPr>
        <w:t>（1）人工智能训练师主机1台。</w:t>
      </w:r>
    </w:p>
    <w:p>
      <w:pPr>
        <w:spacing w:line="360" w:lineRule="auto"/>
        <w:rPr>
          <w:rFonts w:hint="eastAsia" w:ascii="黑体" w:hAnsi="宋体" w:eastAsia="黑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某智慧养老平台的心率监测模块目前存在数据准确性不高、异常预警响应慢等问题，影响了老年人健康监测的体验和服务质量。作为人工智能训练师，你需要结合业务知识和人工智能技术，对该模块进行优化设计与实现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（1）列出心率监测模块当前存在的具体问题，如数据准确性、异常预警响应等；简述这些问题对老年人健康监测的影响；指出导致这些问题的主要技术或流程原因。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将上述答案写在1.2.2.docx答题卷上，题号为“1.2.2-1”。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（2）简述针对心率监测模块问题的优化方案，可涉及技术、流程等方面；列出优化方案的关键实施步骤，如数据采集、预处理、模型训练等；概述如何协调团队资源以确保优化方案的实现，并简述预期效果。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将上述答案写在1.2.2.docx答题卷上，题号为“1.2.2-2”。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（1）能够结合业务知识，识别业务流程中单一模块的问题；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（2）能够结合人工智能技术设计业务模块优化方案并推动实现。</w:t>
      </w:r>
    </w:p>
    <w:p>
      <w:pPr>
        <w:rPr>
          <w:rFonts w:hint="eastAsia" w:ascii="宋体" w:hAnsi="宋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（1）深刻理解数据，细致分析。</w:t>
      </w:r>
    </w:p>
    <w:p>
      <w:pPr>
        <w:rPr>
          <w:rFonts w:hint="eastAsia" w:ascii="宋体" w:hAnsi="宋体"/>
        </w:rPr>
      </w:pPr>
    </w:p>
    <w:p>
      <w:pPr>
        <w:pStyle w:val="12"/>
        <w:pBdr>
          <w:bottom w:val="none" w:color="auto" w:sz="0" w:space="0"/>
        </w:pBdr>
        <w:tabs>
          <w:tab w:val="center" w:pos="4153"/>
          <w:tab w:val="right" w:pos="8306"/>
          <w:tab w:val="clear" w:pos="4680"/>
          <w:tab w:val="clear" w:pos="9360"/>
        </w:tabs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ascii="黑体" w:hAnsi="黑体" w:eastAsia="黑体"/>
          <w:color w:val="000000"/>
          <w:szCs w:val="21"/>
        </w:rPr>
        <w:t>老年人健康监测与管理服务业务模块效果优化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 xml:space="preserve">30min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5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465"/>
        <w:gridCol w:w="3784"/>
        <w:gridCol w:w="1153"/>
        <w:gridCol w:w="1009"/>
        <w:gridCol w:w="10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60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76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1976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02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7" w:type="pct"/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1.2.2-1心率监测模块存在的问题，每列出1个+2分，总共4分；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M2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1.2.2-1对老年人健康监测的影响，每列出1个+2分，总共4分；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M3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1.2.2-1导致问题的主要技术或流程原因，每列出1个+2分，总共4分；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M4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1.2.2-2优化方案，每列出1个+2分，总共6分；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M5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1.2.2-2优化方案的关键实施步骤，每列出1个+2分，总共6分；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M6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1.2.2-2清晰概述团队资源协调方式，确保方案实施，并简述合理的预期效果；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25</w:t>
            </w:r>
          </w:p>
        </w:tc>
        <w:tc>
          <w:tcPr>
            <w:tcW w:w="2578" w:type="pct"/>
            <w:gridSpan w:val="2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</w:rPr>
        <w:br w:type="page"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宋体" w:cs="Arial"/>
          <w:b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14:ligatures w14:val="none"/>
        </w:rPr>
        <w:t>参</w:t>
      </w: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考答案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14:ligatures w14:val="none"/>
        </w:rPr>
        <w:t>：</w:t>
      </w:r>
    </w:p>
    <w:p>
      <w:pPr>
        <w:kinsoku w:val="0"/>
        <w:autoSpaceDE w:val="0"/>
        <w:autoSpaceDN w:val="0"/>
        <w:adjustRightInd w:val="0"/>
        <w:snapToGrid w:val="0"/>
        <w:spacing w:after="0" w:line="240" w:lineRule="auto"/>
        <w:jc w:val="center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jc w:val="center"/>
        <w:rPr>
          <w:rFonts w:ascii="黑体" w:hAnsi="黑体" w:eastAsia="黑体"/>
          <w:color w:val="FF0000"/>
          <w:sz w:val="40"/>
          <w:szCs w:val="44"/>
        </w:rPr>
      </w:pPr>
      <w:r>
        <w:rPr>
          <w:rFonts w:hint="eastAsia" w:ascii="黑体" w:hAnsi="黑体" w:eastAsia="黑体"/>
          <w:color w:val="FF0000"/>
          <w:sz w:val="40"/>
          <w:szCs w:val="44"/>
        </w:rPr>
        <w:t>请勿修改答题卷，在指定单元格内填写答案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</w:t>
      </w:r>
      <w:r>
        <w:rPr>
          <w:rFonts w:ascii="黑体" w:hAnsi="黑体" w:eastAsia="黑体"/>
          <w:sz w:val="28"/>
          <w:szCs w:val="28"/>
        </w:rPr>
        <w:t>.2.</w:t>
      </w:r>
      <w:r>
        <w:rPr>
          <w:rFonts w:hint="eastAsia" w:ascii="黑体" w:hAnsi="黑体" w:eastAsia="黑体"/>
          <w:sz w:val="28"/>
          <w:szCs w:val="28"/>
        </w:rPr>
        <w:t>2</w:t>
      </w:r>
      <w:r>
        <w:rPr>
          <w:rFonts w:ascii="黑体" w:hAnsi="黑体" w:eastAsia="黑体"/>
          <w:sz w:val="28"/>
          <w:szCs w:val="28"/>
        </w:rPr>
        <w:t>-1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8296" w:type="dxa"/>
          </w:tcPr>
          <w:p>
            <w:pPr>
              <w:spacing w:after="0" w:line="240" w:lineRule="auto"/>
              <w:rPr>
                <w:rFonts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ascii="黑体" w:hAnsi="黑体" w:eastAsia="黑体"/>
                <w:color w:val="0070C0"/>
                <w:sz w:val="20"/>
                <w:szCs w:val="20"/>
                <w14:ligatures w14:val="none"/>
              </w:rPr>
              <w:t>心率监测模块当前存在的具体问题</w:t>
            </w: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有</w:t>
            </w:r>
          </w:p>
          <w:p>
            <w:pPr>
              <w:pStyle w:val="31"/>
              <w:numPr>
                <w:ilvl w:val="0"/>
                <w:numId w:val="1"/>
              </w:num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数据准确性不高：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影响：不准确的心率数据可能导致错误的健康评估，无法及时发现潜在的健康问题，影响老年人的安全和健康管理。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原因：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传感器质量：使用低质量或老化的传感器可能导致数据采集不准确。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算法不足：现有算法可能无法有效处理噪声或异常数据，导致数据偏差。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环境干扰：外部环境因素（如温度、湿度）可能影响传感器的性能。</w:t>
            </w:r>
          </w:p>
          <w:p>
            <w:pPr>
              <w:spacing w:after="0" w:line="240" w:lineRule="auto"/>
              <w:rPr>
                <w:rFonts w:ascii="黑体" w:hAnsi="黑体" w:eastAsia="黑体"/>
                <w:color w:val="0070C0"/>
                <w:sz w:val="20"/>
                <w:szCs w:val="20"/>
                <w14:ligatures w14:val="none"/>
              </w:rPr>
            </w:pPr>
          </w:p>
          <w:p>
            <w:pPr>
              <w:pStyle w:val="31"/>
              <w:numPr>
                <w:ilvl w:val="0"/>
                <w:numId w:val="1"/>
              </w:num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异常预警响应慢：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影响：延迟的预警可能导致无法及时采取措施，增加健康风险，尤其在紧急情况下。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原因：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数据处理延迟：系统处理能力不足，导致数据分析和预警生成速度慢。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网络延迟：网络传输速度慢可能导致预警信息无法及时发送。</w:t>
            </w:r>
          </w:p>
          <w:p>
            <w:pPr>
              <w:spacing w:after="0" w:line="240" w:lineRule="auto"/>
              <w:rPr>
                <w:rFonts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算法复杂度：复杂的算法可能增加计算时间，影响响应速度。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</w:p>
          <w:p>
            <w:pPr>
              <w:spacing w:after="0" w:line="240" w:lineRule="auto"/>
              <w:rPr>
                <w:rFonts w:ascii="黑体" w:hAnsi="黑体" w:eastAsia="黑体"/>
                <w:sz w:val="24"/>
                <w:szCs w:val="24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这些问题对老年人健康监测的影响是显著的，因为心率监测是老年人健康管理的重要组成部分。数据不准确和响应慢会降低监测的可靠性和有效性，增加健康风险。通过优化传感器技术、改进算法和提升系统处理能力，可以有效解决这些问题。</w:t>
            </w:r>
          </w:p>
          <w:p>
            <w:pPr>
              <w:spacing w:after="0" w:line="240" w:lineRule="auto"/>
              <w:rPr>
                <w:rFonts w:ascii="黑体" w:hAnsi="黑体" w:eastAsia="黑体"/>
                <w:sz w:val="24"/>
                <w:szCs w:val="24"/>
                <w14:ligatures w14:val="none"/>
              </w:rPr>
            </w:pPr>
          </w:p>
        </w:tc>
      </w:tr>
    </w:tbl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</w:t>
      </w:r>
      <w:r>
        <w:rPr>
          <w:rFonts w:ascii="黑体" w:hAnsi="黑体" w:eastAsia="黑体"/>
          <w:sz w:val="28"/>
          <w:szCs w:val="28"/>
        </w:rPr>
        <w:t>.2.</w:t>
      </w:r>
      <w:r>
        <w:rPr>
          <w:rFonts w:hint="eastAsia" w:ascii="黑体" w:hAnsi="黑体" w:eastAsia="黑体"/>
          <w:sz w:val="28"/>
          <w:szCs w:val="28"/>
        </w:rPr>
        <w:t>2</w:t>
      </w:r>
      <w:r>
        <w:rPr>
          <w:rFonts w:ascii="黑体" w:hAnsi="黑体" w:eastAsia="黑体"/>
          <w:sz w:val="28"/>
          <w:szCs w:val="28"/>
        </w:rPr>
        <w:t>-2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</w:trPr>
        <w:tc>
          <w:tcPr>
            <w:tcW w:w="8316" w:type="dxa"/>
          </w:tcPr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针对心率监测模块问题的优化方案可以从技术和流程两个方面进行：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1.技术优化：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传感器升级：使用高精度传感器以提高数据采集的准确性。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算法改进：采用先进的机器学习算法进行数据预处理和异常检测，提高数据分析的准确性和响应速度。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实时数据处理：优化系统架构以支持实时数据处理和预警生成。</w:t>
            </w:r>
          </w:p>
          <w:p>
            <w:pPr>
              <w:spacing w:after="0" w:line="240" w:lineRule="auto"/>
              <w:rPr>
                <w:rFonts w:ascii="黑体" w:hAnsi="黑体" w:eastAsia="黑体"/>
                <w:color w:val="0070C0"/>
                <w:sz w:val="20"/>
                <w:szCs w:val="20"/>
                <w14:ligatures w14:val="none"/>
              </w:rPr>
            </w:pP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  <w:t>2.流程优化：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数据采集与预处理：建立标准化的数据采集流程，确保数据质量；进行数据清洗和预处理以去除噪声。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模型训练与更新：定期训练和更新模型，以适应新的数据模式和环境变化。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预警机制优化：简化预警生成流程，减少响应时间。</w:t>
            </w:r>
          </w:p>
          <w:p>
            <w:pPr>
              <w:spacing w:after="0" w:line="240" w:lineRule="auto"/>
              <w:rPr>
                <w:rFonts w:ascii="黑体" w:hAnsi="黑体" w:eastAsia="黑体"/>
                <w:color w:val="0070C0"/>
                <w:sz w:val="20"/>
                <w:szCs w:val="20"/>
                <w14:ligatures w14:val="none"/>
              </w:rPr>
            </w:pP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关键实施步骤</w:t>
            </w:r>
          </w:p>
          <w:p>
            <w:pPr>
              <w:pStyle w:val="31"/>
              <w:numPr>
                <w:ilvl w:val="0"/>
                <w:numId w:val="2"/>
              </w:num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数据采集与预处理：</w:t>
            </w:r>
          </w:p>
          <w:p>
            <w:pPr>
              <w:spacing w:after="0" w:line="240" w:lineRule="auto"/>
              <w:rPr>
                <w:rFonts w:ascii="黑体" w:hAnsi="黑体" w:eastAsia="黑体"/>
                <w:color w:val="0070C0"/>
                <w:sz w:val="20"/>
                <w:szCs w:val="20"/>
                <w14:ligatures w14:val="none"/>
              </w:rPr>
            </w:pP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升级传感器设备，确保高质量数据采集。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实施数据清洗和预处理流程，去除异常和噪声。</w:t>
            </w:r>
          </w:p>
          <w:p>
            <w:pPr>
              <w:spacing w:after="0" w:line="240" w:lineRule="auto"/>
              <w:rPr>
                <w:rFonts w:ascii="黑体" w:hAnsi="黑体" w:eastAsia="黑体"/>
                <w:color w:val="0070C0"/>
                <w:sz w:val="20"/>
                <w:szCs w:val="20"/>
                <w14:ligatures w14:val="none"/>
              </w:rPr>
            </w:pPr>
          </w:p>
          <w:p>
            <w:pPr>
              <w:pStyle w:val="31"/>
              <w:numPr>
                <w:ilvl w:val="0"/>
                <w:numId w:val="2"/>
              </w:num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模型训练与优化：</w:t>
            </w:r>
          </w:p>
          <w:p>
            <w:pPr>
              <w:spacing w:after="0" w:line="240" w:lineRule="auto"/>
              <w:rPr>
                <w:rFonts w:ascii="黑体" w:hAnsi="黑体" w:eastAsia="黑体"/>
                <w:color w:val="0070C0"/>
                <w:sz w:val="20"/>
                <w:szCs w:val="20"/>
                <w14:ligatures w14:val="none"/>
              </w:rPr>
            </w:pP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选择合适的机器学习算法，进行模型训练。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定期更新模型，确保其适应性和准确性。</w:t>
            </w:r>
          </w:p>
          <w:p>
            <w:pPr>
              <w:spacing w:after="0" w:line="240" w:lineRule="auto"/>
              <w:rPr>
                <w:rFonts w:ascii="黑体" w:hAnsi="黑体" w:eastAsia="黑体"/>
                <w:color w:val="0070C0"/>
                <w:sz w:val="20"/>
                <w:szCs w:val="20"/>
                <w14:ligatures w14:val="none"/>
              </w:rPr>
            </w:pPr>
          </w:p>
          <w:p>
            <w:pPr>
              <w:pStyle w:val="31"/>
              <w:numPr>
                <w:ilvl w:val="0"/>
                <w:numId w:val="2"/>
              </w:num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系统架构优化：</w:t>
            </w:r>
          </w:p>
          <w:p>
            <w:pPr>
              <w:spacing w:after="0" w:line="240" w:lineRule="auto"/>
              <w:rPr>
                <w:rFonts w:ascii="黑体" w:hAnsi="黑体" w:eastAsia="黑体"/>
                <w:color w:val="0070C0"/>
                <w:sz w:val="20"/>
                <w:szCs w:val="20"/>
                <w14:ligatures w14:val="none"/>
              </w:rPr>
            </w:pP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采用分布式计算和缓存技术，提高数据处理速度。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优化网络传输，减少延迟。</w:t>
            </w:r>
          </w:p>
          <w:p>
            <w:pPr>
              <w:spacing w:after="0" w:line="240" w:lineRule="auto"/>
              <w:rPr>
                <w:rFonts w:ascii="黑体" w:hAnsi="黑体" w:eastAsia="黑体"/>
                <w:color w:val="0070C0"/>
                <w:sz w:val="20"/>
                <w:szCs w:val="20"/>
                <w14:ligatures w14:val="none"/>
              </w:rPr>
            </w:pPr>
          </w:p>
          <w:p>
            <w:pPr>
              <w:pStyle w:val="31"/>
              <w:numPr>
                <w:ilvl w:val="0"/>
                <w:numId w:val="2"/>
              </w:num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预警机制改进：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简化预警生成流程，确保快速响应。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实施实时监控和反馈机制，及时调整预警策略。</w:t>
            </w:r>
          </w:p>
          <w:p>
            <w:pPr>
              <w:spacing w:after="0" w:line="240" w:lineRule="auto"/>
              <w:rPr>
                <w:rFonts w:ascii="黑体" w:hAnsi="黑体" w:eastAsia="黑体"/>
                <w:color w:val="0070C0"/>
                <w:sz w:val="20"/>
                <w:szCs w:val="20"/>
                <w14:ligatures w14:val="none"/>
              </w:rPr>
            </w:pP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对于团队资源的协调， 实施步骤包括：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 xml:space="preserve">  1）跨部门协作：协调技术团队、数据科学团队和产品团队，确保各环节的顺利实施。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 xml:space="preserve">  2）资源分配：合理分配人力和技术资源，确保项目进度和质量。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 xml:space="preserve">  3）定期沟通：通过定期会议和报告，确保团队成员了解项目进展和目标。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</w:pPr>
          </w:p>
          <w:p>
            <w:pPr>
              <w:spacing w:after="0" w:line="240" w:lineRule="auto"/>
              <w:rPr>
                <w:rFonts w:ascii="黑体" w:hAnsi="黑体" w:eastAsia="黑体"/>
                <w:sz w:val="24"/>
                <w:szCs w:val="24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20"/>
                <w:szCs w:val="20"/>
                <w14:ligatures w14:val="none"/>
              </w:rPr>
              <w:t>通过以上优化方案，期望能够显著提高心率监测数据的准确性和异常预警的响应速度，提升老年人健康监测的可靠性和服务质量，增强用户满意度和平台竞争力。</w:t>
            </w:r>
          </w:p>
        </w:tc>
      </w:tr>
    </w:tbl>
    <w:p/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pict>
        <v:shape id="WordPictureWatermark989944110" o:spid="_x0000_s1026" o:spt="75" type="#_x0000_t75" style="position:absolute;left:0pt;height:262.95pt;width:467.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watermark ai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pict>
        <v:shape id="WordPictureWatermark989944109" o:spid="_x0000_s1025" o:spt="75" type="#_x0000_t75" style="position:absolute;left:0pt;height:262.95pt;width:467.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watermark ai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E76F7A"/>
    <w:multiLevelType w:val="multilevel"/>
    <w:tmpl w:val="36E76F7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64525E"/>
    <w:multiLevelType w:val="multilevel"/>
    <w:tmpl w:val="6264525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cumentProtection w:enforcement="0"/>
  <w:defaultTabStop w:val="720"/>
  <w:characterSpacingControl w:val="doNotCompress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A04AE7"/>
    <w:rsid w:val="00175334"/>
    <w:rsid w:val="00275F9A"/>
    <w:rsid w:val="004841BE"/>
    <w:rsid w:val="004E4CFD"/>
    <w:rsid w:val="007D7C4A"/>
    <w:rsid w:val="008F3083"/>
    <w:rsid w:val="00A04AE7"/>
    <w:rsid w:val="00A13986"/>
    <w:rsid w:val="00B86F62"/>
    <w:rsid w:val="00EC0058"/>
    <w:rsid w:val="01B30DC7"/>
    <w:rsid w:val="5C39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3">
    <w:name w:val="Subtitle"/>
    <w:basedOn w:val="1"/>
    <w:next w:val="1"/>
    <w:link w:val="28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qFormat/>
    <w:uiPriority w:val="39"/>
    <w:pPr>
      <w:spacing w:after="0" w:line="240" w:lineRule="auto"/>
    </w:pPr>
    <w:rPr>
      <w:sz w:val="21"/>
      <w:szCs w:val="22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Heading 1 Char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Heading 2 Char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Heading 3 Char"/>
    <w:basedOn w:val="17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1">
    <w:name w:val="Heading 4 Char"/>
    <w:basedOn w:val="17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2">
    <w:name w:val="Heading 5 Char"/>
    <w:basedOn w:val="17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3">
    <w:name w:val="Heading 6 Char"/>
    <w:basedOn w:val="17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Heading 7 Char"/>
    <w:basedOn w:val="17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Heading 8 Char"/>
    <w:basedOn w:val="17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Heading 9 Char"/>
    <w:basedOn w:val="17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7">
    <w:name w:val="Title Char"/>
    <w:basedOn w:val="17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Subtitle Char"/>
    <w:basedOn w:val="17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Quote Char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Intense Quote Char"/>
    <w:basedOn w:val="17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Header Char"/>
    <w:basedOn w:val="17"/>
    <w:link w:val="12"/>
    <w:qFormat/>
    <w:uiPriority w:val="99"/>
  </w:style>
  <w:style w:type="character" w:customStyle="1" w:styleId="37">
    <w:name w:val="Footer Char"/>
    <w:basedOn w:val="17"/>
    <w:link w:val="1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1819</Words>
  <Characters>1923</Characters>
  <Lines>111</Lines>
  <Paragraphs>113</Paragraphs>
  <TotalTime>0</TotalTime>
  <ScaleCrop>false</ScaleCrop>
  <LinksUpToDate>false</LinksUpToDate>
  <CharactersWithSpaces>1936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2025-03-22T09:15:00Z</dcterms:created>
  <dc:creator>Liu, Jing A</dc:creator>
  <cp:lastModifiedBy>陈豪</cp:lastModifiedBy>
  <dcterms:modified xsi:type="dcterms:W3CDTF">2025-06-20T06:54:52Z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053babd3-1b67-468e-80fe-b9bef7215a49</vt:lpwstr>
  </property>
  <property fmtid="{D5CDD505-2E9C-101B-9397-08002B2CF9AE}" pid="3" name="KSOProductBuildVer">
    <vt:lpwstr>2052-12.1.0.16929</vt:lpwstr>
  </property>
  <property fmtid="{D5CDD505-2E9C-101B-9397-08002B2CF9AE}" pid="4" name="ICV">
    <vt:lpwstr>DE3835F2499C4E92AA2E2129689698FE_12</vt:lpwstr>
  </property>
</Properties>
</file>